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134AAC" w14:textId="77777777" w:rsidR="00A91478" w:rsidRPr="00220DDB" w:rsidRDefault="00A91478" w:rsidP="008F3559">
      <w:pPr>
        <w:pStyle w:val="Odstavectextzarovnani-doleva"/>
        <w:ind w:left="-426" w:right="-427"/>
        <w:rPr>
          <w:b/>
          <w:sz w:val="22"/>
          <w:szCs w:val="22"/>
        </w:rPr>
      </w:pPr>
      <w:bookmarkStart w:id="0" w:name="_Hlk104296102"/>
      <w:bookmarkStart w:id="1" w:name="_Hlk104394990"/>
      <w:r w:rsidRPr="00220DDB">
        <w:rPr>
          <w:b/>
          <w:sz w:val="22"/>
          <w:szCs w:val="22"/>
        </w:rPr>
        <w:t>Tisková zpráva</w:t>
      </w:r>
    </w:p>
    <w:bookmarkEnd w:id="0"/>
    <w:p w14:paraId="4A236E18" w14:textId="6FC0FE89" w:rsidR="008F3559" w:rsidRDefault="008F3559" w:rsidP="008F3559">
      <w:pPr>
        <w:spacing w:before="360" w:after="200" w:line="240" w:lineRule="auto"/>
        <w:ind w:left="-425"/>
        <w:rPr>
          <w:rFonts w:eastAsia="Times New Roman" w:cs="Tahoma"/>
          <w:color w:val="000000"/>
          <w:lang w:eastAsia="cs-CZ"/>
        </w:rPr>
      </w:pPr>
      <w:r w:rsidRPr="00C63B3B">
        <w:rPr>
          <w:rFonts w:eastAsia="Times New Roman" w:cs="Tahoma"/>
          <w:color w:val="000000"/>
          <w:lang w:eastAsia="cs-CZ"/>
        </w:rPr>
        <w:t xml:space="preserve">Tuchoměřice, </w:t>
      </w:r>
      <w:r w:rsidR="00864E3E">
        <w:rPr>
          <w:rFonts w:eastAsia="Times New Roman" w:cs="Tahoma"/>
          <w:color w:val="000000"/>
          <w:lang w:eastAsia="cs-CZ"/>
        </w:rPr>
        <w:t>1</w:t>
      </w:r>
      <w:r w:rsidR="00983FE3">
        <w:rPr>
          <w:rFonts w:eastAsia="Times New Roman" w:cs="Tahoma"/>
          <w:color w:val="000000"/>
          <w:lang w:eastAsia="cs-CZ"/>
        </w:rPr>
        <w:t>7</w:t>
      </w:r>
      <w:r w:rsidR="006B5E93">
        <w:rPr>
          <w:rFonts w:eastAsia="Times New Roman" w:cs="Tahoma"/>
          <w:color w:val="000000"/>
          <w:lang w:eastAsia="cs-CZ"/>
        </w:rPr>
        <w:t xml:space="preserve">. </w:t>
      </w:r>
      <w:r w:rsidR="00983FE3">
        <w:rPr>
          <w:rFonts w:eastAsia="Times New Roman" w:cs="Tahoma"/>
          <w:color w:val="000000"/>
          <w:lang w:eastAsia="cs-CZ"/>
        </w:rPr>
        <w:t>září</w:t>
      </w:r>
      <w:r w:rsidR="00864E3E">
        <w:rPr>
          <w:rFonts w:eastAsia="Times New Roman" w:cs="Tahoma"/>
          <w:color w:val="000000"/>
          <w:lang w:eastAsia="cs-CZ"/>
        </w:rPr>
        <w:t xml:space="preserve"> 2024</w:t>
      </w:r>
    </w:p>
    <w:p w14:paraId="33A4EAB9" w14:textId="41BD3EF9" w:rsidR="00791A28" w:rsidRDefault="00435E93" w:rsidP="00791A28">
      <w:pPr>
        <w:pStyle w:val="Nadpismodry"/>
        <w:spacing w:after="0"/>
        <w:ind w:left="-425"/>
        <w:rPr>
          <w:szCs w:val="28"/>
          <w:lang w:eastAsia="cs-CZ"/>
        </w:rPr>
      </w:pPr>
      <w:r>
        <w:rPr>
          <w:szCs w:val="28"/>
          <w:lang w:eastAsia="cs-CZ"/>
        </w:rPr>
        <w:t xml:space="preserve">Servind obdržel v rámci Axalta Business Partner </w:t>
      </w:r>
      <w:proofErr w:type="spellStart"/>
      <w:r>
        <w:rPr>
          <w:szCs w:val="28"/>
          <w:lang w:eastAsia="cs-CZ"/>
        </w:rPr>
        <w:t>Award</w:t>
      </w:r>
      <w:proofErr w:type="spellEnd"/>
      <w:r>
        <w:rPr>
          <w:szCs w:val="28"/>
          <w:lang w:eastAsia="cs-CZ"/>
        </w:rPr>
        <w:t xml:space="preserve"> ocenění za největší růst v konkurenci ostatních distributorů</w:t>
      </w:r>
    </w:p>
    <w:p w14:paraId="5E130A9D" w14:textId="77777777" w:rsidR="00791A28" w:rsidRDefault="00791A28" w:rsidP="00791A28">
      <w:pPr>
        <w:pStyle w:val="Nadpismodry"/>
        <w:spacing w:after="0"/>
        <w:ind w:left="-425"/>
        <w:rPr>
          <w:szCs w:val="28"/>
          <w:lang w:eastAsia="cs-CZ"/>
        </w:rPr>
      </w:pPr>
    </w:p>
    <w:p w14:paraId="62481362" w14:textId="77777777" w:rsidR="00C65EAC" w:rsidRPr="00C65EAC" w:rsidRDefault="00C65EAC" w:rsidP="00C65EAC">
      <w:pPr>
        <w:pStyle w:val="Odstavectextzarovnani-doleva"/>
        <w:ind w:left="-426" w:right="-427"/>
        <w:rPr>
          <w:bCs/>
          <w:sz w:val="24"/>
          <w:szCs w:val="24"/>
        </w:rPr>
      </w:pPr>
      <w:r w:rsidRPr="00C65EAC">
        <w:rPr>
          <w:bCs/>
          <w:sz w:val="24"/>
          <w:szCs w:val="24"/>
        </w:rPr>
        <w:t xml:space="preserve">Ve středu 11. září proběhla v německém </w:t>
      </w:r>
      <w:proofErr w:type="spellStart"/>
      <w:r w:rsidRPr="00C65EAC">
        <w:rPr>
          <w:bCs/>
          <w:sz w:val="24"/>
          <w:szCs w:val="24"/>
        </w:rPr>
        <w:t>Mainzu</w:t>
      </w:r>
      <w:proofErr w:type="spellEnd"/>
      <w:r w:rsidRPr="00C65EAC">
        <w:rPr>
          <w:bCs/>
          <w:sz w:val="24"/>
          <w:szCs w:val="24"/>
        </w:rPr>
        <w:t xml:space="preserve"> tradiční konference koncernu Axalta, pod který spadá také značka prémiových autoopravárenských lakovacích materiálů STANDOX. Během tohoto slavnostního setkání byly prezentovány stávající aktivity, oborové trendy, ale i plány a strategie do blízké a vzdálené budoucnosti.</w:t>
      </w:r>
    </w:p>
    <w:p w14:paraId="0FFC144E" w14:textId="021C75C4" w:rsidR="00C06630" w:rsidRPr="00C65EAC" w:rsidRDefault="00C65EAC" w:rsidP="00C65EAC">
      <w:pPr>
        <w:pStyle w:val="Odstavectextzarovnani-doleva"/>
        <w:ind w:left="-426" w:right="-427"/>
        <w:rPr>
          <w:bCs/>
          <w:sz w:val="22"/>
          <w:szCs w:val="22"/>
        </w:rPr>
      </w:pPr>
      <w:r w:rsidRPr="00C65EAC">
        <w:rPr>
          <w:bCs/>
          <w:sz w:val="22"/>
          <w:szCs w:val="22"/>
        </w:rPr>
        <w:t xml:space="preserve">Součástí oficiálního programu bylo i vyhlášení cen Axalta Business Partner </w:t>
      </w:r>
      <w:proofErr w:type="spellStart"/>
      <w:r w:rsidRPr="00C65EAC">
        <w:rPr>
          <w:bCs/>
          <w:sz w:val="22"/>
          <w:szCs w:val="22"/>
        </w:rPr>
        <w:t>Award</w:t>
      </w:r>
      <w:proofErr w:type="spellEnd"/>
      <w:r w:rsidRPr="00C65EAC">
        <w:rPr>
          <w:bCs/>
          <w:sz w:val="22"/>
          <w:szCs w:val="22"/>
        </w:rPr>
        <w:t xml:space="preserve"> 2024, v jehož rámci získala společnost Servind speciální ocenění </w:t>
      </w:r>
      <w:proofErr w:type="spellStart"/>
      <w:r w:rsidRPr="00C65EAC">
        <w:rPr>
          <w:bCs/>
          <w:sz w:val="22"/>
          <w:szCs w:val="22"/>
        </w:rPr>
        <w:t>Accelerating</w:t>
      </w:r>
      <w:proofErr w:type="spellEnd"/>
      <w:r w:rsidRPr="00C65EAC">
        <w:rPr>
          <w:bCs/>
          <w:sz w:val="22"/>
          <w:szCs w:val="22"/>
        </w:rPr>
        <w:t xml:space="preserve"> Performance za nejvyšší kontinuální nárůst mezi všemi distributory v období posledních pěti let. „Velice si vážím tohoto významného ocenění, které se nám podařilo získat v rámci ostatních vysoce kvalitních a úspěšných distributorů značky STANDOX, ale i dalších značek koncernu Axalta. Jsem na to opravdu hrdý a chci touto cestou poděkovat mým kolegům ze </w:t>
      </w:r>
      <w:proofErr w:type="spellStart"/>
      <w:r w:rsidRPr="00C65EAC">
        <w:rPr>
          <w:bCs/>
          <w:sz w:val="22"/>
          <w:szCs w:val="22"/>
        </w:rPr>
        <w:t>Servidnu</w:t>
      </w:r>
      <w:proofErr w:type="spellEnd"/>
      <w:r w:rsidRPr="00C65EAC">
        <w:rPr>
          <w:bCs/>
          <w:sz w:val="22"/>
          <w:szCs w:val="22"/>
        </w:rPr>
        <w:t xml:space="preserve"> v Česku i na Slovensku. Bez jejich nasazení a tvrdé každodenní práce by se to nepodařilo. Cena je pro nás nejenom poděkováním za naši třicet dva let trvající spolupráci se značkou STANDOX, ale i obrovským závazkem do dalších let. Vynasnažíme se udělat maximum, abychom se v tomto mezinárodním klání udrželi na špičce i do budoucna.“, říká David Bártek, jednatel společnosti Servind.</w:t>
      </w:r>
    </w:p>
    <w:p w14:paraId="57E1180A" w14:textId="77777777" w:rsidR="00C65EAC" w:rsidRDefault="00C65EAC" w:rsidP="00E32DC8">
      <w:pPr>
        <w:pStyle w:val="Odstavectextzarovnani-doleva"/>
        <w:ind w:left="-426" w:right="-427"/>
        <w:rPr>
          <w:b/>
          <w:sz w:val="22"/>
          <w:szCs w:val="22"/>
        </w:rPr>
      </w:pPr>
    </w:p>
    <w:p w14:paraId="66B85013" w14:textId="599C2FC2" w:rsidR="00A91478" w:rsidRDefault="00A91478" w:rsidP="00E32DC8">
      <w:pPr>
        <w:pStyle w:val="Odstavectextzarovnani-doleva"/>
        <w:ind w:left="-426" w:right="-427"/>
        <w:rPr>
          <w:rStyle w:val="Hypertextovodkaz"/>
          <w:color w:val="auto"/>
        </w:rPr>
      </w:pPr>
      <w:r w:rsidRPr="008F3559">
        <w:rPr>
          <w:b/>
          <w:sz w:val="22"/>
          <w:szCs w:val="22"/>
        </w:rPr>
        <w:t>Kontakt:</w:t>
      </w:r>
      <w:r w:rsidRPr="008F3559">
        <w:rPr>
          <w:b/>
          <w:sz w:val="22"/>
          <w:szCs w:val="22"/>
        </w:rPr>
        <w:br/>
      </w:r>
      <w:r w:rsidRPr="00643EFE">
        <w:t>Tomáš Cafourek</w:t>
      </w:r>
      <w:r w:rsidR="00643EFE" w:rsidRPr="00643EFE">
        <w:br/>
      </w:r>
      <w:r w:rsidRPr="00643EFE">
        <w:t>vedoucí marketingu a produktového managementu</w:t>
      </w:r>
      <w:r w:rsidR="00643EFE" w:rsidRPr="00643EFE">
        <w:br/>
      </w:r>
      <w:r w:rsidRPr="00643EFE">
        <w:t>tel: 724 877 588, e-mail:</w:t>
      </w:r>
      <w:r w:rsidRPr="00AB6CC8">
        <w:rPr>
          <w:u w:val="single"/>
        </w:rPr>
        <w:t xml:space="preserve"> </w:t>
      </w:r>
      <w:hyperlink r:id="rId10" w:history="1">
        <w:r w:rsidRPr="00AB6CC8">
          <w:rPr>
            <w:rStyle w:val="Hypertextovodkaz"/>
            <w:color w:val="auto"/>
          </w:rPr>
          <w:t>tcafourek@servind.com</w:t>
        </w:r>
      </w:hyperlink>
    </w:p>
    <w:p w14:paraId="3BC86B00" w14:textId="77777777" w:rsidR="000E0708" w:rsidRDefault="000E0708" w:rsidP="008F3559">
      <w:pPr>
        <w:spacing w:line="240" w:lineRule="auto"/>
        <w:ind w:left="-426"/>
        <w:contextualSpacing/>
        <w:rPr>
          <w:rFonts w:cs="Tahoma"/>
          <w:b/>
          <w:color w:val="000000"/>
        </w:rPr>
      </w:pPr>
    </w:p>
    <w:p w14:paraId="1CFD04DE" w14:textId="77777777" w:rsidR="00791A28" w:rsidRDefault="00791A28" w:rsidP="008F3559">
      <w:pPr>
        <w:spacing w:line="240" w:lineRule="auto"/>
        <w:ind w:left="-426"/>
        <w:contextualSpacing/>
        <w:rPr>
          <w:rFonts w:cs="Tahoma"/>
          <w:b/>
          <w:color w:val="000000"/>
        </w:rPr>
      </w:pPr>
    </w:p>
    <w:p w14:paraId="254729CA" w14:textId="77777777" w:rsidR="00C06630" w:rsidRDefault="00C06630" w:rsidP="008F3559">
      <w:pPr>
        <w:spacing w:line="240" w:lineRule="auto"/>
        <w:ind w:left="-426"/>
        <w:contextualSpacing/>
        <w:rPr>
          <w:rFonts w:cs="Tahoma"/>
          <w:b/>
          <w:color w:val="000000"/>
        </w:rPr>
      </w:pPr>
    </w:p>
    <w:bookmarkEnd w:id="1"/>
    <w:p w14:paraId="1D7B5690" w14:textId="77777777" w:rsidR="00347151" w:rsidRPr="00833D7A" w:rsidRDefault="00347151" w:rsidP="00347151">
      <w:pPr>
        <w:pStyle w:val="Odstavectextzarovnani-doleva"/>
        <w:ind w:left="-284" w:right="-569"/>
        <w:rPr>
          <w:rFonts w:cs="Tahoma"/>
          <w:b/>
          <w:color w:val="000000"/>
        </w:rPr>
      </w:pPr>
      <w:r w:rsidRPr="00833D7A">
        <w:rPr>
          <w:rFonts w:cs="Tahoma"/>
          <w:b/>
          <w:color w:val="000000"/>
        </w:rPr>
        <w:t>O společnosti SERVIND s.r.o.</w:t>
      </w:r>
    </w:p>
    <w:p w14:paraId="1FB48C62" w14:textId="77777777" w:rsidR="00347151" w:rsidRPr="00833D7A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Společnost SERVIND s.r.o. patří od roku 1992 k nejvýznamnějším dodavatelům autoopravárenských laků, příslušenství a vybavení autolakoven v České republice. Prostřednictvím dceřiné společnosti SERVIND SLOVAKIA s.r.o. je od roku 1993 úspěšně zastoupena i na slovenském trhu.</w:t>
      </w:r>
    </w:p>
    <w:p w14:paraId="6C7A5CAC" w14:textId="62AFEDB0" w:rsidR="00347151" w:rsidRPr="00833D7A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 xml:space="preserve">Jako přední dodavatel významným autorizovaným servisům i nezávislým autolakovnám společnost Servind spolupracuje převážně s dodavateli, kteří celosvětově určují oborové trendy a přinášejí nejnovější technologie. Exkluzivní zastoupení pro Českou republiku tak má pro prémiové laky německé společnosti Standox, finského výrobce brusiva, leštění a nářadí Mirka, spotřebního materiálu a vybavení do autolakoven Colad, lakovacích a sušicích kabin Wolf, Blowtherm a Termomeccanica GL či sušicích robotů </w:t>
      </w:r>
      <w:proofErr w:type="spellStart"/>
      <w:r w:rsidRPr="00833D7A">
        <w:rPr>
          <w:rFonts w:cs="Tahoma"/>
          <w:bCs/>
          <w:color w:val="000000"/>
        </w:rPr>
        <w:t>Symach</w:t>
      </w:r>
      <w:proofErr w:type="spellEnd"/>
      <w:r w:rsidRPr="00833D7A">
        <w:rPr>
          <w:rFonts w:cs="Tahoma"/>
          <w:bCs/>
          <w:color w:val="000000"/>
        </w:rPr>
        <w:t xml:space="preserve">, které pracují na revolučním principu katalytické reakce. Od roku 2015 SERVIND rozšířil své portfolio o </w:t>
      </w:r>
      <w:r w:rsidRPr="00833D7A">
        <w:rPr>
          <w:rFonts w:cs="Tahoma"/>
          <w:bCs/>
          <w:color w:val="000000"/>
        </w:rPr>
        <w:lastRenderedPageBreak/>
        <w:t>oblast karosářských oprav, kde se opírá o zastoupení švédské firmy CAR-O-LINER, která nabízí sofistikované rovnací stolice, unikátní měřicí systémy a obsáhlá data většiny automobilových producentů pro zjištění rozsahu poškození karoserie po havárii a jejich následnou opravu, svářeček a dalšího vybavení. V České republice patří tuchoměřická společnost k největším distributorům stříkací techniky SATA, maskovacích pásek Tesa, mycích systémů Drester, profesionální chemie a autokosmetiky Flowey, pracovní kosmetiky Deb Stoko a mnoha dalších.</w:t>
      </w:r>
    </w:p>
    <w:p w14:paraId="2D4220DB" w14:textId="77777777" w:rsidR="00347151" w:rsidRPr="00833D7A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Pole působnosti společnosti se postupně rozšířilo také do oblasti prvovýroby automobilů a subdodavatelského odvětví. V souvislosti s rozšířením sortimentu o široké spektrum průmyslových laků jsou nedílnou součástí struktury klientů i významné průmyslové podniky v oboru kolejových vozidel, strojírenství a nábytkářského průmyslu. V současné době průmyslová divize tvoří polovinu obratu společnosti.</w:t>
      </w:r>
    </w:p>
    <w:p w14:paraId="5CF33A76" w14:textId="0889CF48" w:rsidR="00347151" w:rsidRPr="00833D7A" w:rsidRDefault="00347151" w:rsidP="00D83BE9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Mimo vysoce kvalitních produktů a pokrokových technologií získávají zákazníci i širokou škálu služeb na vysoké profesionální úrovni. Předností společnosti je komplexnost nabídky na jednom místě a poskytování služeb uzpůsobených na míru konkrétnímu zákazníkovi. Ve vlastním lakařském a karosářském tréninkovém centru jsou organizovány pravidelná školení a</w:t>
      </w:r>
      <w:r w:rsidR="00D83BE9">
        <w:rPr>
          <w:rFonts w:cs="Tahoma"/>
          <w:bCs/>
          <w:color w:val="000000"/>
        </w:rPr>
        <w:t xml:space="preserve"> </w:t>
      </w:r>
      <w:r w:rsidRPr="00833D7A">
        <w:rPr>
          <w:rFonts w:cs="Tahoma"/>
          <w:bCs/>
          <w:color w:val="000000"/>
        </w:rPr>
        <w:t>semináře, které informují o pokrokových technologických postupech a nejnovějších produktech s cílem zvýšení kvality a ekonomiky provozu u zákazníků. Poskytovaný poradenský servis zahrnuje např. doporučení použití optimálních lakovacích materiálů a postupů, technického vybavení a hospodárného procesu lakování, poskytování koloristického servisu, pomoc při řešení ekologických otázek, bezpečnosti práce a jiné. Stejná hladina poradenství je držena i v oblasti karosářských oprav. Nedílnou součástí služeb je odborný záruční a pozáruční servis nářadí a zařízení ze sortimentu společnosti.</w:t>
      </w:r>
    </w:p>
    <w:p w14:paraId="7A16B6F3" w14:textId="77777777" w:rsidR="00347151" w:rsidRPr="00833D7A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V roce 2012 společnost oslavila dvacetileté působení na trhu. Z důvodu další expanze byla u této příležitosti otevřena nová centrála v Tuchoměřicích nedaleko Letiště Václava Havla v Praze, a to včetně nejmodernějšího tréninkového centra ve střední a východní Evropě.</w:t>
      </w:r>
    </w:p>
    <w:p w14:paraId="547592AB" w14:textId="77777777" w:rsidR="00347151" w:rsidRPr="00833D7A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V roce 2016 si společnost Servind jako svého autorizovaného distributora olejů a maziv do segmentu autorizovaných servisů v České republice a na Slovensku zvolila společnost Castrol. V témže roce Servind otevřel i karosářské tréninkové centrum.</w:t>
      </w:r>
    </w:p>
    <w:p w14:paraId="3D8896D8" w14:textId="77777777" w:rsidR="00347151" w:rsidRPr="00833D7A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Důležitým momentem byl v roce 2020 vznik naší průmyslové sekce Business Development, která se věnuje automatizaci a robotizaci procesů zejména v oblasti přípravy a finalizace povrchu. To v přímé souvislosti s rychle se rozvíjejícím konceptem výroby Průmysl 4.0.</w:t>
      </w:r>
    </w:p>
    <w:p w14:paraId="306B698A" w14:textId="73F8A426" w:rsidR="00295640" w:rsidRPr="00347151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V současné době pracuje ve společnosti 170 zaměstnanců po celé České republice. Dalších 30 spolupracovníků působí v dceřiné společnosti na Slovensku. Společnost je držitelem certifikátu kvality jakosti ISO 9001 a certifikátu pro oblast životního prostředí ISO 14001.</w:t>
      </w:r>
    </w:p>
    <w:sectPr w:rsidR="00295640" w:rsidRPr="00347151" w:rsidSect="009C4EA7">
      <w:headerReference w:type="default" r:id="rId11"/>
      <w:pgSz w:w="11906" w:h="16838"/>
      <w:pgMar w:top="2552" w:right="1276" w:bottom="2410" w:left="1134" w:header="709" w:footer="709" w:gutter="0"/>
      <w:cols w:space="42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A4F6ED" w14:textId="77777777" w:rsidR="003A3AE4" w:rsidRDefault="003A3AE4" w:rsidP="00F13485">
      <w:pPr>
        <w:spacing w:after="0" w:line="240" w:lineRule="auto"/>
      </w:pPr>
      <w:r>
        <w:separator/>
      </w:r>
    </w:p>
  </w:endnote>
  <w:endnote w:type="continuationSeparator" w:id="0">
    <w:p w14:paraId="4F98D3F6" w14:textId="77777777" w:rsidR="003A3AE4" w:rsidRDefault="003A3AE4" w:rsidP="00F13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9635C1" w14:textId="77777777" w:rsidR="003A3AE4" w:rsidRDefault="003A3AE4" w:rsidP="00F13485">
      <w:pPr>
        <w:spacing w:after="0" w:line="240" w:lineRule="auto"/>
      </w:pPr>
      <w:r>
        <w:separator/>
      </w:r>
    </w:p>
  </w:footnote>
  <w:footnote w:type="continuationSeparator" w:id="0">
    <w:p w14:paraId="6207DE35" w14:textId="77777777" w:rsidR="003A3AE4" w:rsidRDefault="003A3AE4" w:rsidP="00F134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40880F" w14:textId="6249E5E0" w:rsidR="00042607" w:rsidRDefault="008F3559">
    <w:pPr>
      <w:pStyle w:val="Zhlav"/>
    </w:pPr>
    <w:r>
      <w:rPr>
        <w:noProof/>
      </w:rPr>
      <w:drawing>
        <wp:anchor distT="0" distB="0" distL="114300" distR="114300" simplePos="0" relativeHeight="251657728" behindDoc="1" locked="1" layoutInCell="1" allowOverlap="0" wp14:anchorId="6E2EFDB2" wp14:editId="5E00DDCD">
          <wp:simplePos x="0" y="0"/>
          <wp:positionH relativeFrom="column">
            <wp:posOffset>-732790</wp:posOffset>
          </wp:positionH>
          <wp:positionV relativeFrom="page">
            <wp:posOffset>5080</wp:posOffset>
          </wp:positionV>
          <wp:extent cx="7572375" cy="10711180"/>
          <wp:effectExtent l="0" t="0" r="0" b="0"/>
          <wp:wrapNone/>
          <wp:docPr id="1" name="Obrázek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1180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tile tx="0" ty="0" sx="100000" sy="100000" flip="none" algn="tl"/>
                  </a:blip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activeWritingStyle w:appName="MSWord" w:lang="cs-CZ" w:vendorID="64" w:dllVersion="4096" w:nlCheck="1" w:checkStyle="0"/>
  <w:activeWritingStyle w:appName="MSWord" w:lang="cs-CZ" w:vendorID="64" w:dllVersion="0" w:nlCheck="1" w:checkStyle="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559"/>
    <w:rsid w:val="00012B7D"/>
    <w:rsid w:val="000379D4"/>
    <w:rsid w:val="00040690"/>
    <w:rsid w:val="00042607"/>
    <w:rsid w:val="00044613"/>
    <w:rsid w:val="000532AF"/>
    <w:rsid w:val="00055F9E"/>
    <w:rsid w:val="0007035B"/>
    <w:rsid w:val="000735FC"/>
    <w:rsid w:val="00075FA5"/>
    <w:rsid w:val="00093508"/>
    <w:rsid w:val="000A32E7"/>
    <w:rsid w:val="000D22A3"/>
    <w:rsid w:val="000E0708"/>
    <w:rsid w:val="000E0927"/>
    <w:rsid w:val="000E68B4"/>
    <w:rsid w:val="00157691"/>
    <w:rsid w:val="00167008"/>
    <w:rsid w:val="00175D4C"/>
    <w:rsid w:val="00186439"/>
    <w:rsid w:val="00197F56"/>
    <w:rsid w:val="001B4CD0"/>
    <w:rsid w:val="00201F68"/>
    <w:rsid w:val="0021637B"/>
    <w:rsid w:val="002172F9"/>
    <w:rsid w:val="00220038"/>
    <w:rsid w:val="00220DDB"/>
    <w:rsid w:val="00232981"/>
    <w:rsid w:val="00286E72"/>
    <w:rsid w:val="00294BCA"/>
    <w:rsid w:val="00295640"/>
    <w:rsid w:val="002B4465"/>
    <w:rsid w:val="002F51A5"/>
    <w:rsid w:val="00325798"/>
    <w:rsid w:val="00347151"/>
    <w:rsid w:val="00352500"/>
    <w:rsid w:val="003A3AE4"/>
    <w:rsid w:val="003E6AE0"/>
    <w:rsid w:val="0041357B"/>
    <w:rsid w:val="00420633"/>
    <w:rsid w:val="004259A1"/>
    <w:rsid w:val="00435E93"/>
    <w:rsid w:val="00445280"/>
    <w:rsid w:val="00460AFE"/>
    <w:rsid w:val="004A6859"/>
    <w:rsid w:val="004D1417"/>
    <w:rsid w:val="004E5FAF"/>
    <w:rsid w:val="005803CF"/>
    <w:rsid w:val="005B479B"/>
    <w:rsid w:val="005F5BE1"/>
    <w:rsid w:val="00610589"/>
    <w:rsid w:val="006156EF"/>
    <w:rsid w:val="00632507"/>
    <w:rsid w:val="00633878"/>
    <w:rsid w:val="00643EFE"/>
    <w:rsid w:val="00651C9A"/>
    <w:rsid w:val="00666282"/>
    <w:rsid w:val="006760B4"/>
    <w:rsid w:val="0068004C"/>
    <w:rsid w:val="00681A94"/>
    <w:rsid w:val="006A52D8"/>
    <w:rsid w:val="006B3399"/>
    <w:rsid w:val="006B5E93"/>
    <w:rsid w:val="006C0F8E"/>
    <w:rsid w:val="00717DDC"/>
    <w:rsid w:val="00720D19"/>
    <w:rsid w:val="007318FC"/>
    <w:rsid w:val="00732EEF"/>
    <w:rsid w:val="0078658F"/>
    <w:rsid w:val="007873E4"/>
    <w:rsid w:val="00791A28"/>
    <w:rsid w:val="00795B5A"/>
    <w:rsid w:val="007B7033"/>
    <w:rsid w:val="007D1A3E"/>
    <w:rsid w:val="007E562A"/>
    <w:rsid w:val="007E63A4"/>
    <w:rsid w:val="00801123"/>
    <w:rsid w:val="00814FCB"/>
    <w:rsid w:val="00827B23"/>
    <w:rsid w:val="0086194D"/>
    <w:rsid w:val="00862626"/>
    <w:rsid w:val="00864E3E"/>
    <w:rsid w:val="0089145A"/>
    <w:rsid w:val="008D28D3"/>
    <w:rsid w:val="008D2A2D"/>
    <w:rsid w:val="008D5F75"/>
    <w:rsid w:val="008F3559"/>
    <w:rsid w:val="008F6A04"/>
    <w:rsid w:val="00903438"/>
    <w:rsid w:val="009651F1"/>
    <w:rsid w:val="009675BB"/>
    <w:rsid w:val="00977D46"/>
    <w:rsid w:val="00983FE3"/>
    <w:rsid w:val="009C1CA9"/>
    <w:rsid w:val="009C4E57"/>
    <w:rsid w:val="009C4EA7"/>
    <w:rsid w:val="009D455B"/>
    <w:rsid w:val="00A01C9D"/>
    <w:rsid w:val="00A01FCC"/>
    <w:rsid w:val="00A24C73"/>
    <w:rsid w:val="00A61625"/>
    <w:rsid w:val="00A848B8"/>
    <w:rsid w:val="00A91478"/>
    <w:rsid w:val="00AB08AE"/>
    <w:rsid w:val="00AB6CC8"/>
    <w:rsid w:val="00AD2702"/>
    <w:rsid w:val="00AD3709"/>
    <w:rsid w:val="00B11893"/>
    <w:rsid w:val="00B30E3C"/>
    <w:rsid w:val="00B63451"/>
    <w:rsid w:val="00B64B06"/>
    <w:rsid w:val="00B81526"/>
    <w:rsid w:val="00B842B0"/>
    <w:rsid w:val="00B941B7"/>
    <w:rsid w:val="00BA68D8"/>
    <w:rsid w:val="00BD0A59"/>
    <w:rsid w:val="00BD19A5"/>
    <w:rsid w:val="00BF1F83"/>
    <w:rsid w:val="00C06630"/>
    <w:rsid w:val="00C16E4C"/>
    <w:rsid w:val="00C30A01"/>
    <w:rsid w:val="00C63237"/>
    <w:rsid w:val="00C65EAC"/>
    <w:rsid w:val="00C742A3"/>
    <w:rsid w:val="00CA0B5B"/>
    <w:rsid w:val="00CA6C93"/>
    <w:rsid w:val="00CC474D"/>
    <w:rsid w:val="00CD43A9"/>
    <w:rsid w:val="00CD63A1"/>
    <w:rsid w:val="00D3142D"/>
    <w:rsid w:val="00D54327"/>
    <w:rsid w:val="00D665DA"/>
    <w:rsid w:val="00D67865"/>
    <w:rsid w:val="00D70192"/>
    <w:rsid w:val="00D83BE9"/>
    <w:rsid w:val="00DA6BB0"/>
    <w:rsid w:val="00DC07B8"/>
    <w:rsid w:val="00DD50E3"/>
    <w:rsid w:val="00DE1A67"/>
    <w:rsid w:val="00E32DC8"/>
    <w:rsid w:val="00E4629C"/>
    <w:rsid w:val="00E51FEC"/>
    <w:rsid w:val="00E66C16"/>
    <w:rsid w:val="00EB75B2"/>
    <w:rsid w:val="00EE4753"/>
    <w:rsid w:val="00EF62BD"/>
    <w:rsid w:val="00F04BCE"/>
    <w:rsid w:val="00F13485"/>
    <w:rsid w:val="00F22E1B"/>
    <w:rsid w:val="00F27D9E"/>
    <w:rsid w:val="00F736C4"/>
    <w:rsid w:val="00F76C5E"/>
    <w:rsid w:val="00F860A0"/>
    <w:rsid w:val="00FC4F82"/>
    <w:rsid w:val="00FD58FE"/>
    <w:rsid w:val="00FE5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F063E2"/>
  <w15:docId w15:val="{C3ED4176-B2D9-4210-8B2F-A544613F7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F3559"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13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13485"/>
  </w:style>
  <w:style w:type="paragraph" w:styleId="Zpat">
    <w:name w:val="footer"/>
    <w:basedOn w:val="Normln"/>
    <w:link w:val="ZpatChar"/>
    <w:uiPriority w:val="99"/>
    <w:unhideWhenUsed/>
    <w:rsid w:val="00F13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13485"/>
  </w:style>
  <w:style w:type="paragraph" w:styleId="Textbubliny">
    <w:name w:val="Balloon Text"/>
    <w:basedOn w:val="Normln"/>
    <w:link w:val="TextbublinyChar"/>
    <w:uiPriority w:val="99"/>
    <w:semiHidden/>
    <w:unhideWhenUsed/>
    <w:rsid w:val="00F13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F13485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717DDC"/>
    <w:rPr>
      <w:color w:val="0000FF"/>
      <w:u w:val="single"/>
    </w:rPr>
  </w:style>
  <w:style w:type="paragraph" w:customStyle="1" w:styleId="Odstavectext">
    <w:name w:val="Odstavec_text"/>
    <w:basedOn w:val="Normln"/>
    <w:qFormat/>
    <w:rsid w:val="00FE55DC"/>
    <w:pPr>
      <w:jc w:val="both"/>
    </w:pPr>
    <w:rPr>
      <w:sz w:val="20"/>
      <w:szCs w:val="20"/>
    </w:rPr>
  </w:style>
  <w:style w:type="paragraph" w:customStyle="1" w:styleId="Nadpismodry">
    <w:name w:val="Nadpis_modry"/>
    <w:basedOn w:val="Normln"/>
    <w:qFormat/>
    <w:rsid w:val="00AB6CC8"/>
    <w:pPr>
      <w:spacing w:after="240"/>
    </w:pPr>
    <w:rPr>
      <w:b/>
      <w:color w:val="0046AD"/>
      <w:sz w:val="28"/>
      <w:szCs w:val="24"/>
    </w:rPr>
  </w:style>
  <w:style w:type="paragraph" w:customStyle="1" w:styleId="Odstavectextzarovnani-doleva">
    <w:name w:val="Odstavec_text_zarovnani-doleva"/>
    <w:basedOn w:val="Odstavectext"/>
    <w:qFormat/>
    <w:rsid w:val="00643EFE"/>
    <w:pPr>
      <w:jc w:val="left"/>
    </w:pPr>
  </w:style>
  <w:style w:type="paragraph" w:styleId="Revize">
    <w:name w:val="Revision"/>
    <w:hidden/>
    <w:uiPriority w:val="99"/>
    <w:semiHidden/>
    <w:rsid w:val="004259A1"/>
    <w:rPr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8F35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Default">
    <w:name w:val="Default"/>
    <w:rsid w:val="00791A28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14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tcafourek@servind.c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arrollova\OneDrive%20-%20SERVIND%20s.r.o\M\01_Servind\06_Servind%20&#353;ablony\&#352;ablony_dopisy_nab&#237;dky_nov&#233;\servind_tiskov&#225;%20zpr&#225;va_elektonick&#225;%20&#353;ablona_CZ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7282cc-8e79-4a06-88d9-26816f75489e" xsi:nil="true"/>
    <lcf76f155ced4ddcb4097134ff3c332f xmlns="d51ef68e-022c-4cb5-98f7-fb7a76e0142c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477399C47F77429F433A3CAB7AA8F2" ma:contentTypeVersion="15" ma:contentTypeDescription="Create a new document." ma:contentTypeScope="" ma:versionID="36d1f1a0004c89b2d3c99ad93c4c8b3e">
  <xsd:schema xmlns:xsd="http://www.w3.org/2001/XMLSchema" xmlns:xs="http://www.w3.org/2001/XMLSchema" xmlns:p="http://schemas.microsoft.com/office/2006/metadata/properties" xmlns:ns2="de7282cc-8e79-4a06-88d9-26816f75489e" xmlns:ns3="d51ef68e-022c-4cb5-98f7-fb7a76e0142c" targetNamespace="http://schemas.microsoft.com/office/2006/metadata/properties" ma:root="true" ma:fieldsID="dde6839f8f71cc65c852d4926d17df17" ns2:_="" ns3:_="">
    <xsd:import namespace="de7282cc-8e79-4a06-88d9-26816f75489e"/>
    <xsd:import namespace="d51ef68e-022c-4cb5-98f7-fb7a76e0142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LengthInSecond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282cc-8e79-4a06-88d9-26816f75489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a5521321-144f-461d-8348-c24026c50d23}" ma:internalName="TaxCatchAll" ma:showField="CatchAllData" ma:web="de7282cc-8e79-4a06-88d9-26816f7548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1ef68e-022c-4cb5-98f7-fb7a76e014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849a7a7-9225-445f-87ad-4e605b6a72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C68A55-7960-4542-AF8A-6C1EEAD9C3F6}">
  <ds:schemaRefs>
    <ds:schemaRef ds:uri="http://schemas.microsoft.com/office/2006/metadata/properties"/>
    <ds:schemaRef ds:uri="http://schemas.microsoft.com/office/infopath/2007/PartnerControls"/>
    <ds:schemaRef ds:uri="de7282cc-8e79-4a06-88d9-26816f75489e"/>
    <ds:schemaRef ds:uri="d51ef68e-022c-4cb5-98f7-fb7a76e0142c"/>
  </ds:schemaRefs>
</ds:datastoreItem>
</file>

<file path=customXml/itemProps2.xml><?xml version="1.0" encoding="utf-8"?>
<ds:datastoreItem xmlns:ds="http://schemas.openxmlformats.org/officeDocument/2006/customXml" ds:itemID="{47910687-D046-438A-A916-5EE28491B8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7282cc-8e79-4a06-88d9-26816f75489e"/>
    <ds:schemaRef ds:uri="d51ef68e-022c-4cb5-98f7-fb7a76e014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D6FCFA4-1F31-6A4F-B100-AB3D1390D02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9ACDD5A-A2E2-462A-A4D0-376F8A5275B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servind_tisková zpráva_elektonická šablona_CZ.dot</Template>
  <TotalTime>3</TotalTime>
  <Pages>2</Pages>
  <Words>779</Words>
  <Characters>4602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5371</CharactersWithSpaces>
  <SharedDoc>false</SharedDoc>
  <HLinks>
    <vt:vector size="6" baseType="variant">
      <vt:variant>
        <vt:i4>196643</vt:i4>
      </vt:variant>
      <vt:variant>
        <vt:i4>0</vt:i4>
      </vt:variant>
      <vt:variant>
        <vt:i4>0</vt:i4>
      </vt:variant>
      <vt:variant>
        <vt:i4>5</vt:i4>
      </vt:variant>
      <vt:variant>
        <vt:lpwstr>mailto:tcafourek@servind.com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Pavlína Carrollová</dc:creator>
  <cp:keywords/>
  <cp:lastModifiedBy>Tomáš Cafourek</cp:lastModifiedBy>
  <cp:revision>4</cp:revision>
  <cp:lastPrinted>2023-04-21T09:20:00Z</cp:lastPrinted>
  <dcterms:created xsi:type="dcterms:W3CDTF">2024-09-16T20:06:00Z</dcterms:created>
  <dcterms:modified xsi:type="dcterms:W3CDTF">2024-09-16T20:10:00Z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0x01010072477399C47F77429F433A3CAB7AA8F2</vt:lpwstr>
  </property>
  <property fmtid="{D5CDD505-2E9C-101B-9397-08002B2CF9AE}" pid="3" name="MediaServiceImageTags">
    <vt:lpwstr/>
  </property>
</Properties>
</file>